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Works</w:t>
      </w:r>
    </w:p>
    <w:p>
      <w:pPr>
        <w:tabs>
          <w:tab w:val="left" w:pos="2835"/>
        </w:tabs>
        <w:spacing w:before="240" w:after="240"/>
        <w:ind w:left="2835" w:hanging="2835"/>
        <w:jc w:val="center"/>
        <w:rPr>
          <w:rFonts w:hint="default"/>
          <w:lang w:val="en-US" w:eastAsia="ko-KR"/>
        </w:rPr>
      </w:pPr>
      <w:bookmarkStart w:id="0" w:name="_Ref384989099"/>
      <w:bookmarkStart w:id="1" w:name="_Ref371928515"/>
      <w:bookmarkStart w:id="2" w:name="_Ref374243803"/>
      <w:bookmarkStart w:id="3" w:name="_Ref385265302"/>
      <w:r>
        <w:rPr>
          <w:b/>
          <w:lang w:val="en-GB"/>
        </w:rPr>
        <w:t>Procurement No:</w:t>
      </w:r>
      <w:r>
        <w:rPr>
          <w:lang w:val="en-GB"/>
        </w:rPr>
        <w:tab/>
      </w:r>
      <w:bookmarkEnd w:id="0"/>
      <w:bookmarkEnd w:id="1"/>
      <w:bookmarkEnd w:id="2"/>
      <w:bookmarkEnd w:id="3"/>
      <w:r>
        <w:rPr>
          <w:rStyle w:val="32"/>
          <w:rFonts w:hint="default"/>
          <w:lang w:val="en-US"/>
        </w:rPr>
        <w:t>22-W002-21</w:t>
      </w:r>
    </w:p>
    <w:p>
      <w:pPr>
        <w:rPr>
          <w:rFonts w:cs="Calibri"/>
          <w:b/>
          <w:lang w:val="en-GB" w:eastAsia="ko-KR"/>
        </w:rPr>
      </w:pPr>
      <w:r>
        <w:rPr>
          <w:rFonts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ascii="Times New Roman" w:hAnsi="Times New Roman"/>
          <w:lang w:val="en-GB"/>
        </w:rPr>
        <w:fldChar w:fldCharType="begin"/>
      </w:r>
      <w:r>
        <w:rPr>
          <w:rFonts w:ascii="Times New Roman" w:hAnsi="Times New Roman"/>
          <w:lang w:val="en-GB"/>
        </w:rPr>
        <w:instrText xml:space="preserve"> TOC \o "1-4" </w:instrText>
      </w:r>
      <w:r>
        <w:rPr>
          <w:rFonts w:ascii="Times New Roman" w:hAnsi="Times New Roman"/>
          <w:lang w:val="en-GB"/>
        </w:rPr>
        <w:fldChar w:fldCharType="separate"/>
      </w:r>
      <w:r>
        <w:rPr>
          <w:rFonts w:cs="Calibri"/>
        </w:rPr>
        <w:t>Instructions on how to submit the Proposal</w:t>
      </w:r>
      <w:r>
        <w:tab/>
      </w:r>
      <w:r>
        <w:fldChar w:fldCharType="begin"/>
      </w:r>
      <w:r>
        <w:instrText xml:space="preserve"> PAGEREF _Toc44940560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_Toc44940561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_Toc44940562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_Toc44940563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RFP documents</w:t>
      </w:r>
      <w:r>
        <w:tab/>
      </w:r>
      <w:r>
        <w:fldChar w:fldCharType="begin"/>
      </w:r>
      <w:r>
        <w:instrText xml:space="preserve"> PAGEREF _Toc44940564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Proposal format</w:t>
      </w:r>
      <w:r>
        <w:tab/>
      </w:r>
      <w:r>
        <w:fldChar w:fldCharType="begin"/>
      </w:r>
      <w:r>
        <w:instrText xml:space="preserve"> PAGEREF _Toc44940565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_Toc44940566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_Toc44940567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_Toc44940568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_Toc44940569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_Toc44940570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_Toc44940571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_Toc44940572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_Toc44940573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_Toc44940574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_Toc44940575 \h </w:instrText>
      </w:r>
      <w:r>
        <w:fldChar w:fldCharType="separate"/>
      </w:r>
      <w:r>
        <w:t>8</w:t>
      </w:r>
      <w:r>
        <w:fldChar w:fldCharType="end"/>
      </w:r>
    </w:p>
    <w:p>
      <w:pPr>
        <w:spacing w:before="0"/>
        <w:rPr>
          <w:rFonts w:cs="Calibri"/>
          <w:lang w:val="en-GB"/>
        </w:rPr>
      </w:pPr>
      <w:r>
        <w:rPr>
          <w:rFonts w:ascii="Times New Roman" w:hAnsi="Times New Roman"/>
          <w:caps/>
          <w:lang w:val="en-GB"/>
        </w:rPr>
        <w:fldChar w:fldCharType="end"/>
      </w:r>
    </w:p>
    <w:p>
      <w:pPr>
        <w:rPr>
          <w:rFonts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40560"/>
      <w:r>
        <w:rPr>
          <w:rFonts w:cs="Calibri"/>
          <w:sz w:val="32"/>
          <w:szCs w:val="32"/>
        </w:rPr>
        <w:t>Instructions</w:t>
      </w:r>
      <w:bookmarkEnd w:id="4"/>
      <w:r>
        <w:rPr>
          <w:rFonts w:cs="Calibri"/>
          <w:sz w:val="32"/>
          <w:szCs w:val="32"/>
        </w:rPr>
        <w:t xml:space="preserve"> on how to submit the Proposal</w:t>
      </w:r>
      <w:bookmarkEnd w:id="5"/>
    </w:p>
    <w:p>
      <w:pPr>
        <w:pStyle w:val="3"/>
        <w:numPr>
          <w:ilvl w:val="0"/>
          <w:numId w:val="3"/>
        </w:numPr>
        <w:ind w:left="360" w:hanging="270"/>
        <w:rPr>
          <w:rFonts w:cs="Calibri"/>
          <w:sz w:val="28"/>
          <w:szCs w:val="28"/>
          <w:lang w:eastAsia="ko-KR"/>
        </w:rPr>
      </w:pPr>
      <w:bookmarkStart w:id="6" w:name="_Toc44940561"/>
      <w:r>
        <w:rPr>
          <w:rFonts w:cs="Calibri"/>
          <w:sz w:val="28"/>
          <w:szCs w:val="28"/>
          <w:lang w:eastAsia="ko-KR"/>
        </w:rPr>
        <w:t>General Instructions</w:t>
      </w:r>
      <w:bookmarkEnd w:id="6"/>
    </w:p>
    <w:p>
      <w:pPr>
        <w:jc w:val="both"/>
        <w:rPr>
          <w:rFonts w:cs="Calibri"/>
          <w:color w:val="000000"/>
          <w:lang w:val="en-GB"/>
        </w:rPr>
      </w:pPr>
      <w:r>
        <w:rPr>
          <w:rFonts w:cs="Calibri"/>
          <w:lang w:val="en-GB"/>
        </w:rPr>
        <w:t xml:space="preserve">The [Ministry of Health and Medical Services], hereinafter referred to as “the Procuring Entity”, invites Tenderers to submit Proposals for the Project as fully described in this RFP. Please follow the instructions below in completing your Proposal. The language of </w:t>
      </w:r>
      <w:r>
        <w:rPr>
          <w:rFonts w:cs="Calibri"/>
          <w:color w:val="000000"/>
          <w:lang w:val="en-GB"/>
        </w:rPr>
        <w:t>Proposals shall be English.</w:t>
      </w:r>
    </w:p>
    <w:p>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is not a valid reason for lateness or incompleteness. </w:t>
      </w:r>
      <w:r>
        <w:rPr>
          <w:rFonts w:cs="Calibri"/>
          <w:color w:val="FF0000"/>
          <w:lang w:val="en-GB"/>
        </w:rPr>
        <w:t>Proposals or Questions, or parts thereof, delivered after the latest date and time for submission will not be opened or considered.</w:t>
      </w:r>
    </w:p>
    <w:p>
      <w:pPr>
        <w:jc w:val="both"/>
        <w:rPr>
          <w:rFonts w:cs="Calibri"/>
          <w:lang w:val="en-GB"/>
        </w:rPr>
      </w:pPr>
      <w:r>
        <w:rPr>
          <w:rFonts w:cs="Calibri"/>
          <w:lang w:val="en-GB"/>
        </w:rPr>
        <w:t>By responding to this RFP, the Tenderer accept this RFP’s policies and procedures, including the Specification describing the Works to be delivered. Tenderers shall have no claim whatsoever or right to any kind of compensation or reimbursement for preparation of their Proposal, whether or not it is successful.</w:t>
      </w:r>
    </w:p>
    <w:p>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Proposals will be used for evaluation purposes and will not be returned.</w:t>
      </w:r>
    </w:p>
    <w:p>
      <w:pPr>
        <w:pStyle w:val="4"/>
        <w:spacing w:before="240" w:after="0"/>
        <w:jc w:val="both"/>
        <w:rPr>
          <w:rFonts w:cs="Calibri"/>
          <w:sz w:val="24"/>
          <w:lang w:val="en-GB"/>
        </w:rPr>
      </w:pPr>
      <w:bookmarkStart w:id="7" w:name="_Toc26450994"/>
      <w:bookmarkStart w:id="8" w:name="_Toc44940562"/>
      <w:r>
        <w:rPr>
          <w:rFonts w:cs="Calibri"/>
          <w:sz w:val="24"/>
          <w:lang w:val="en-GB"/>
        </w:rPr>
        <w:t>Official email address</w:t>
      </w:r>
      <w:bookmarkEnd w:id="7"/>
      <w:bookmarkEnd w:id="8"/>
    </w:p>
    <w:p>
      <w:pPr>
        <w:spacing w:before="100" w:beforeAutospacing="1" w:after="100" w:afterAutospacing="1"/>
        <w:rPr>
          <w:rFonts w:eastAsia="Times New Roman" w:cs="Calibri"/>
          <w:lang w:val="en-GB"/>
        </w:rPr>
      </w:pPr>
      <w:r>
        <w:rPr>
          <w:rFonts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cs="Calibri"/>
          <w:lang w:val="en-GB" w:eastAsia="ko-KR"/>
        </w:rPr>
        <w:t>procurement@mfep.gov.ki</w:t>
      </w:r>
      <w:r>
        <w:rPr>
          <w:rStyle w:val="26"/>
          <w:rFonts w:cs="Calibri"/>
          <w:lang w:val="en-GB" w:eastAsia="ko-KR"/>
        </w:rPr>
        <w:fldChar w:fldCharType="end"/>
      </w:r>
      <w:r>
        <w:rPr>
          <w:rFonts w:eastAsia="Times New Roman" w:cs="Calibri"/>
          <w:lang w:val="en-GB"/>
        </w:rPr>
        <w:t>. All correspondence regarding this process shall be submitted to this address, and this address only. No copies to other staff of the Procuring Entity staff shall be submitted in parallel.</w:t>
      </w:r>
    </w:p>
    <w:p>
      <w:pPr>
        <w:spacing w:before="0"/>
        <w:rPr>
          <w:rFonts w:cs="Calibri"/>
          <w:b/>
          <w:lang w:val="en-GB"/>
        </w:rPr>
      </w:pPr>
      <w:r>
        <w:rPr>
          <w:rFonts w:cs="Calibri"/>
          <w:lang w:val="en-GB"/>
        </w:rPr>
        <w:br w:type="page"/>
      </w:r>
    </w:p>
    <w:p>
      <w:pPr>
        <w:pStyle w:val="4"/>
        <w:spacing w:before="240" w:after="0"/>
        <w:jc w:val="both"/>
        <w:rPr>
          <w:rFonts w:cs="Calibri"/>
          <w:sz w:val="24"/>
          <w:lang w:val="en-GB"/>
        </w:rPr>
      </w:pPr>
      <w:bookmarkStart w:id="9" w:name="_Toc44940563"/>
      <w:r>
        <w:rPr>
          <w:rFonts w:cs="Calibri"/>
          <w:sz w:val="24"/>
          <w:lang w:val="en-GB"/>
        </w:rPr>
        <w:t>Mandatory requirements</w:t>
      </w:r>
      <w:bookmarkEnd w:id="9"/>
    </w:p>
    <w:p>
      <w:pPr>
        <w:jc w:val="both"/>
        <w:rPr>
          <w:rFonts w:cs="Calibri"/>
          <w:lang w:val="en-GB"/>
        </w:rPr>
      </w:pPr>
      <w:bookmarkStart w:id="10" w:name="_Hlk9599545"/>
      <w:r>
        <w:rPr>
          <w:rFonts w:cs="Calibri"/>
          <w:lang w:val="en-GB"/>
        </w:rPr>
        <w:t xml:space="preserve">The Certificate of Compliance Form, separately included in this RFP, </w:t>
      </w:r>
      <w:bookmarkEnd w:id="10"/>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pPr>
        <w:pStyle w:val="4"/>
        <w:spacing w:before="240" w:after="0"/>
        <w:jc w:val="both"/>
        <w:rPr>
          <w:rFonts w:cs="Calibri"/>
          <w:sz w:val="24"/>
          <w:lang w:val="en-GB"/>
        </w:rPr>
      </w:pPr>
      <w:bookmarkStart w:id="11" w:name="_Toc44940564"/>
      <w:r>
        <w:rPr>
          <w:rFonts w:cs="Calibri"/>
          <w:sz w:val="24"/>
          <w:lang w:val="en-GB"/>
        </w:rPr>
        <w:t>Clarification and amendment of RFP documents</w:t>
      </w:r>
      <w:bookmarkEnd w:id="11"/>
    </w:p>
    <w:p>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Pdf format is not accepted. See the timeline for the due date for submission of questions.</w:t>
      </w:r>
    </w:p>
    <w:p>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fldChar w:fldCharType="begin"/>
      </w:r>
      <w:r>
        <w:instrText xml:space="preserve"> HYPERLINK "http://www.procurement.gov.ki/tender-list" </w:instrText>
      </w:r>
      <w:r>
        <w:fldChar w:fldCharType="separate"/>
      </w:r>
      <w:r>
        <w:rPr>
          <w:rStyle w:val="26"/>
        </w:rPr>
        <w:t>Tender List | Central Procurement Unit</w:t>
      </w:r>
      <w:r>
        <w:rPr>
          <w:rStyle w:val="26"/>
        </w:rPr>
        <w:fldChar w:fldCharType="end"/>
      </w:r>
      <w:r>
        <w:t xml:space="preserve"> </w:t>
      </w:r>
      <w:r>
        <w:rPr>
          <w:rFonts w:cs="Calibri"/>
          <w:lang w:val="en-GB"/>
        </w:rPr>
        <w:t xml:space="preserve">or in the case of a direct invitation, directly to all invited Tenderers. </w:t>
      </w:r>
      <w:r>
        <w:rPr>
          <w:rFonts w:eastAsia="Times New Roman" w:cs="Calibri"/>
          <w:lang w:val="en-GB"/>
        </w:rPr>
        <w:t>See the timeline for the date when the Procuring Entity will release any clarifications and/or amendments.</w:t>
      </w:r>
    </w:p>
    <w:p>
      <w:pPr>
        <w:pStyle w:val="4"/>
        <w:spacing w:before="240" w:after="0"/>
        <w:jc w:val="both"/>
        <w:rPr>
          <w:rFonts w:cs="Calibri"/>
          <w:sz w:val="24"/>
          <w:lang w:val="en-GB"/>
        </w:rPr>
      </w:pPr>
      <w:bookmarkStart w:id="12" w:name="_Toc44940565"/>
      <w:r>
        <w:rPr>
          <w:rFonts w:cs="Calibri"/>
          <w:sz w:val="24"/>
          <w:lang w:val="en-GB"/>
        </w:rPr>
        <w:t>Method of submission and Proposal format</w:t>
      </w:r>
      <w:bookmarkEnd w:id="12"/>
    </w:p>
    <w:p>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3" w:name="_Hlk9600481"/>
      <w:r>
        <w:rPr>
          <w:rFonts w:eastAsia="Times New Roman" w:cs="Calibri"/>
          <w:lang w:val="en-GB"/>
        </w:rPr>
        <w:t>, unless otherwise specified in the RFP,</w:t>
      </w:r>
      <w:bookmarkEnd w:id="13"/>
      <w:r>
        <w:rPr>
          <w:rFonts w:eastAsia="Times New Roman" w:cs="Calibri"/>
          <w:lang w:val="en-GB"/>
        </w:rPr>
        <w:t xml:space="preserve"> via email to the official email address, with the following noted in the subject line: </w:t>
      </w:r>
      <w:r>
        <w:rPr>
          <w:rFonts w:eastAsia="Times New Roman" w:cs="Calibri"/>
          <w:b/>
          <w:lang w:val="en-GB"/>
        </w:rPr>
        <w:t>Tenderers name – RFP Number – Proposal</w:t>
      </w:r>
      <w:r>
        <w:rPr>
          <w:rFonts w:eastAsia="Times New Roman" w:cs="Calibri"/>
          <w:lang w:val="en-GB"/>
        </w:rPr>
        <w:t xml:space="preserve"> followed by the name of the respective</w:t>
      </w:r>
      <w:r>
        <w:rPr>
          <w:rFonts w:eastAsia="Times New Roman" w:cs="Calibri"/>
          <w:b/>
          <w:bCs/>
          <w:lang w:val="en-GB"/>
        </w:rPr>
        <w:t xml:space="preserve"> </w:t>
      </w:r>
      <w:r>
        <w:rPr>
          <w:rFonts w:eastAsia="Times New Roman" w:cs="Calibri"/>
          <w:b/>
          <w:i/>
          <w:iCs/>
          <w:lang w:val="en-GB"/>
        </w:rPr>
        <w:t>component a-d</w:t>
      </w:r>
      <w:r>
        <w:rPr>
          <w:rFonts w:eastAsia="Times New Roman" w:cs="Calibri"/>
          <w:lang w:val="en-GB"/>
        </w:rPr>
        <w:t>, as defined below, i.e. marked</w:t>
      </w:r>
      <w:r>
        <w:rPr>
          <w:rFonts w:eastAsia="Times New Roman" w:cs="Calibri"/>
          <w:b/>
          <w:lang w:val="en-GB"/>
        </w:rPr>
        <w:t xml:space="preserve"> – Cover letter, – Certificate, – Technical component, narrative, - Technical component, allocation</w:t>
      </w:r>
      <w:r>
        <w:rPr>
          <w:rFonts w:eastAsia="Times New Roman" w:cs="Calibri"/>
          <w:bCs/>
          <w:lang w:val="en-GB"/>
        </w:rPr>
        <w:t xml:space="preserve"> or </w:t>
      </w:r>
      <w:r>
        <w:rPr>
          <w:rFonts w:eastAsia="Times New Roman" w:cs="Calibri"/>
          <w:b/>
          <w:lang w:val="en-GB"/>
        </w:rPr>
        <w:t>– Financial component</w:t>
      </w:r>
      <w:r>
        <w:rPr>
          <w:rFonts w:eastAsia="Times New Roman" w:cs="Calibri"/>
          <w:bCs/>
          <w:lang w:val="en-GB"/>
        </w:rPr>
        <w:t>,</w:t>
      </w:r>
      <w:r>
        <w:rPr>
          <w:rFonts w:eastAsia="Times New Roman" w:cs="Calibri"/>
          <w:lang w:val="en-GB"/>
        </w:rPr>
        <w:t xml:space="preserve"> in addition to the above.</w:t>
      </w:r>
    </w:p>
    <w:p>
      <w:pPr>
        <w:pStyle w:val="5"/>
        <w:rPr>
          <w:lang w:val="en-GB"/>
        </w:rPr>
      </w:pPr>
      <w:bookmarkStart w:id="14" w:name="_Toc44940566"/>
      <w:r>
        <w:rPr>
          <w:lang w:val="en-GB"/>
        </w:rPr>
        <w:t>Electronic submission</w:t>
      </w:r>
      <w:bookmarkEnd w:id="14"/>
    </w:p>
    <w:p>
      <w:pPr>
        <w:spacing w:before="100" w:beforeAutospacing="1" w:after="100" w:afterAutospacing="1"/>
        <w:rPr>
          <w:rFonts w:eastAsia="Times New Roman" w:cs="Calibri"/>
          <w:lang w:val="en-GB"/>
        </w:rPr>
      </w:pPr>
      <w:r>
        <w:rPr>
          <w:rFonts w:eastAsia="Times New Roman" w:cs="Calibri"/>
          <w:lang w:val="en-GB"/>
        </w:rPr>
        <w:t>Proposal documents exceeding 2 MB must be compressed, using a standard zip format openly available in the market. In case the Proposal exceeds 2MB, Tenderers may alternatively send multiple emails, with the same marking.</w:t>
      </w:r>
    </w:p>
    <w:p>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15" w:name="_Toc44940567"/>
      <w:r>
        <w:rPr>
          <w:lang w:val="en-GB"/>
        </w:rPr>
        <w:t>Other means of submission</w:t>
      </w:r>
      <w:bookmarkEnd w:id="15"/>
    </w:p>
    <w:p>
      <w:pPr>
        <w:rPr>
          <w:lang w:val="en-GB"/>
        </w:rPr>
      </w:pPr>
      <w:r>
        <w:rPr>
          <w:lang w:val="en-GB"/>
        </w:rPr>
        <w:t xml:space="preserve">For any other means of submission, i.e. delivery in hard copies, by mail, by hand or by courier, they shall be in closed and sealed envelopes or parcels, marked as follows; </w:t>
      </w:r>
    </w:p>
    <w:p>
      <w:pPr>
        <w:rPr>
          <w:lang w:val="en-GB"/>
        </w:rPr>
      </w:pPr>
    </w:p>
    <w:p>
      <w:pPr>
        <w:spacing w:before="0"/>
        <w:rPr>
          <w:b/>
          <w:lang w:val="en-GB"/>
        </w:rPr>
      </w:pPr>
      <w:r>
        <w:rPr>
          <w:b/>
          <w:lang w:val="en-GB"/>
        </w:rPr>
        <w:t>Secretary</w:t>
      </w:r>
    </w:p>
    <w:p>
      <w:pPr>
        <w:spacing w:before="0"/>
        <w:rPr>
          <w:b/>
          <w:lang w:val="en-GB"/>
        </w:rPr>
      </w:pPr>
      <w:r>
        <w:rPr>
          <w:b/>
          <w:lang w:val="en-GB"/>
        </w:rPr>
        <w:t>Ministry of Finance &amp; Economic Development</w:t>
      </w:r>
    </w:p>
    <w:p>
      <w:pPr>
        <w:spacing w:before="0"/>
        <w:rPr>
          <w:b/>
          <w:lang w:val="en-GB"/>
        </w:rPr>
      </w:pPr>
      <w:r>
        <w:rPr>
          <w:b/>
          <w:lang w:val="en-GB"/>
        </w:rPr>
        <w:t>Bairiki, Tarawa</w:t>
      </w:r>
    </w:p>
    <w:p>
      <w:pPr>
        <w:spacing w:before="0"/>
        <w:rPr>
          <w:b/>
          <w:lang w:val="en-GB"/>
        </w:rPr>
      </w:pPr>
    </w:p>
    <w:p>
      <w:pPr>
        <w:spacing w:before="0"/>
        <w:rPr>
          <w:b/>
          <w:lang w:val="en-GB"/>
        </w:rPr>
      </w:pPr>
      <w:r>
        <w:rPr>
          <w:b/>
          <w:lang w:val="en-GB"/>
        </w:rPr>
        <w:t>Attn: Chief Procurement Officer</w:t>
      </w:r>
    </w:p>
    <w:p>
      <w:pPr>
        <w:spacing w:before="0"/>
        <w:rPr>
          <w:rFonts w:hint="default"/>
          <w:b/>
          <w:lang w:val="en-US"/>
        </w:rPr>
      </w:pPr>
      <w:r>
        <w:rPr>
          <w:b/>
          <w:lang w:val="en-GB"/>
        </w:rPr>
        <w:t>Tender No: 22-</w:t>
      </w:r>
      <w:r>
        <w:rPr>
          <w:rFonts w:hint="default"/>
          <w:b/>
          <w:lang w:val="en-US"/>
        </w:rPr>
        <w:t>W002-21</w:t>
      </w:r>
      <w:bookmarkStart w:id="45" w:name="_GoBack"/>
      <w:bookmarkEnd w:id="45"/>
    </w:p>
    <w:p>
      <w:pPr>
        <w:pStyle w:val="3"/>
        <w:numPr>
          <w:ilvl w:val="0"/>
          <w:numId w:val="3"/>
        </w:numPr>
        <w:ind w:left="360" w:hanging="270"/>
        <w:rPr>
          <w:rFonts w:cs="Calibri"/>
          <w:sz w:val="28"/>
          <w:szCs w:val="28"/>
          <w:lang w:eastAsia="ko-KR"/>
        </w:rPr>
      </w:pPr>
      <w:bookmarkStart w:id="16" w:name="_Toc44940568"/>
      <w:r>
        <w:rPr>
          <w:rFonts w:cs="Calibri"/>
          <w:sz w:val="28"/>
          <w:szCs w:val="28"/>
          <w:lang w:eastAsia="ko-KR"/>
        </w:rPr>
        <w:t>Proposal Documents Required to be Submitted</w:t>
      </w:r>
      <w:bookmarkEnd w:id="16"/>
    </w:p>
    <w:p>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with e and f in separate, files, clearly named with the RFP number and “Technical component” and “Financial component” respectively:</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 (Non mandatory)</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Business Registration for Overseas Contractors Only</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 letter from tax office. For those having tax debts should have instalment agreement with Tax Office. For newly established Construction firms, you need to collect your tax clearance letter also</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 completed and signed</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 Refer to the evaluation criteria and method templates for further details</w:t>
      </w:r>
    </w:p>
    <w:p>
      <w:pPr>
        <w:spacing w:after="120"/>
        <w:ind w:left="1080"/>
        <w:rPr>
          <w:rFonts w:cs="Calibri"/>
          <w:i/>
          <w:sz w:val="22"/>
          <w:lang w:val="en-GB"/>
        </w:rPr>
      </w:pPr>
      <w:r>
        <w:rPr>
          <w:rFonts w:cs="Calibri"/>
          <w:i/>
          <w:sz w:val="22"/>
          <w:lang w:val="en-GB"/>
        </w:rPr>
        <w:t>c.1) Technical Form narrative (form submitted with this RFP)</w:t>
      </w:r>
    </w:p>
    <w:p>
      <w:pPr>
        <w:spacing w:after="120"/>
        <w:ind w:left="1080"/>
        <w:rPr>
          <w:rFonts w:cs="Calibri"/>
          <w:i/>
          <w:sz w:val="22"/>
          <w:lang w:val="en-GB"/>
        </w:rPr>
      </w:pPr>
      <w:r>
        <w:rPr>
          <w:rFonts w:cs="Calibri"/>
          <w:i/>
          <w:sz w:val="22"/>
          <w:lang w:val="en-GB"/>
        </w:rPr>
        <w:t>c.2) Technical Form allocation of resources (spreadsheet form submitted with this RFP, if applicable)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The calculation for the financial component could be sighted from the evaluation criteria and methods templates</w:t>
      </w:r>
    </w:p>
    <w:p>
      <w:pPr>
        <w:spacing w:before="100" w:beforeAutospacing="1" w:after="100" w:afterAutospacing="1"/>
        <w:ind w:left="993"/>
        <w:rPr>
          <w:rFonts w:cs="Calibri"/>
          <w:i/>
          <w:sz w:val="22"/>
          <w:lang w:val="en-GB"/>
        </w:rPr>
      </w:pPr>
      <w:r>
        <w:rPr>
          <w:rFonts w:cs="Calibri"/>
          <w:i/>
          <w:sz w:val="22"/>
          <w:lang w:val="en-GB"/>
        </w:rPr>
        <w:t xml:space="preserve">i) </w:t>
      </w:r>
      <w:r>
        <w:rPr>
          <w:rFonts w:cs="Calibri"/>
          <w:i/>
          <w:sz w:val="22"/>
          <w:u w:val="single"/>
          <w:lang w:val="en-GB"/>
        </w:rPr>
        <w:t>Annual financial reports</w:t>
      </w:r>
      <w:r>
        <w:rPr>
          <w:rFonts w:cs="Calibri"/>
          <w:i/>
          <w:sz w:val="22"/>
          <w:lang w:val="en-GB"/>
        </w:rPr>
        <w:t>: the Tenderer shall provide Annual Financial Reports from the previous 3 years. If the Tenderer has been operative less than three years, the Annual Financial Reports from the years of operation</w:t>
      </w:r>
    </w:p>
    <w:p>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d, e or f it belongs to.</w:t>
      </w:r>
    </w:p>
    <w:p>
      <w:pPr>
        <w:jc w:val="both"/>
        <w:rPr>
          <w:rFonts w:cs="Calibri"/>
          <w:lang w:val="en-GB"/>
        </w:rPr>
      </w:pPr>
      <w:r>
        <w:rPr>
          <w:rFonts w:cs="Calibri"/>
          <w:lang w:val="en-GB"/>
        </w:rPr>
        <w:t>All Proposals must indicate that they are valid for no less than sixty (60) calendar days from the last day for submission of the 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Proposals, a Tenderer which does not agree has the right not to extend the validity of their Proposals, and thereby be excluded from the evaluation.</w:t>
      </w:r>
    </w:p>
    <w:p>
      <w:pPr>
        <w:pStyle w:val="4"/>
        <w:spacing w:before="240" w:after="0"/>
        <w:jc w:val="both"/>
        <w:rPr>
          <w:rFonts w:cs="Calibri"/>
          <w:sz w:val="24"/>
          <w:lang w:val="en-GB"/>
        </w:rPr>
      </w:pPr>
      <w:bookmarkStart w:id="17" w:name="_Toc44940569"/>
      <w:r>
        <w:rPr>
          <w:rFonts w:cs="Calibri"/>
          <w:sz w:val="24"/>
          <w:lang w:val="en-GB"/>
        </w:rPr>
        <w:t>Cover letter</w:t>
      </w:r>
      <w:bookmarkEnd w:id="17"/>
    </w:p>
    <w:p>
      <w:pPr>
        <w:spacing w:before="100" w:beforeAutospacing="1" w:after="100" w:afterAutospacing="1"/>
        <w:rPr>
          <w:rFonts w:eastAsia="Times New Roman" w:cs="Calibri"/>
          <w:lang w:val="en-GB"/>
        </w:rPr>
      </w:pPr>
      <w:r>
        <w:rPr>
          <w:rFonts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18" w:name="_Toc26442920"/>
      <w:bookmarkStart w:id="19" w:name="_Toc26369672"/>
      <w:bookmarkStart w:id="20" w:name="_Toc26439678"/>
      <w:bookmarkStart w:id="21" w:name="_Toc44940570"/>
      <w:bookmarkStart w:id="22" w:name="_Toc26451004"/>
      <w:r>
        <w:rPr>
          <w:rFonts w:cs="Calibri"/>
          <w:sz w:val="24"/>
          <w:lang w:val="en-GB"/>
        </w:rPr>
        <w:t>Certificate of Compliance Form</w:t>
      </w:r>
      <w:bookmarkEnd w:id="18"/>
      <w:bookmarkEnd w:id="19"/>
      <w:bookmarkEnd w:id="20"/>
      <w:bookmarkEnd w:id="21"/>
      <w:bookmarkEnd w:id="22"/>
    </w:p>
    <w:p>
      <w:pPr>
        <w:spacing w:before="100" w:beforeAutospacing="1" w:after="100" w:afterAutospacing="1"/>
        <w:rPr>
          <w:rFonts w:eastAsia="Times New Roman" w:cs="Calibri"/>
          <w:lang w:val="en-GB"/>
        </w:rPr>
      </w:pPr>
      <w:r>
        <w:rPr>
          <w:rFonts w:eastAsia="Times New Roman" w:cs="Calibri"/>
          <w:lang w:val="en-GB"/>
        </w:rPr>
        <w:t>A signed declaration, including that the Tenderer commits to the terms described in their Proposal and assumes responsibility for any pre-contract costs incurred during the Tender and Contract finalisation phases.</w:t>
      </w:r>
    </w:p>
    <w:p>
      <w:pPr>
        <w:pStyle w:val="4"/>
        <w:spacing w:before="240" w:after="0"/>
        <w:jc w:val="both"/>
        <w:rPr>
          <w:rFonts w:cs="Calibri"/>
          <w:sz w:val="24"/>
          <w:lang w:val="en-GB"/>
        </w:rPr>
      </w:pPr>
      <w:bookmarkStart w:id="23" w:name="_Toc44940571"/>
      <w:r>
        <w:rPr>
          <w:rFonts w:cs="Calibri"/>
          <w:sz w:val="24"/>
          <w:lang w:val="en-GB"/>
        </w:rPr>
        <w:t xml:space="preserve">Technical </w:t>
      </w:r>
      <w:bookmarkStart w:id="24" w:name="_Hlk26452477"/>
      <w:r>
        <w:rPr>
          <w:rFonts w:cs="Calibri"/>
          <w:sz w:val="24"/>
          <w:lang w:val="en-GB"/>
        </w:rPr>
        <w:t>component</w:t>
      </w:r>
      <w:bookmarkEnd w:id="23"/>
      <w:bookmarkEnd w:id="24"/>
    </w:p>
    <w:p>
      <w:pPr>
        <w:spacing w:before="100" w:beforeAutospacing="1" w:after="100" w:afterAutospacing="1"/>
        <w:rPr>
          <w:rFonts w:eastAsia="Times New Roman" w:cs="Calibri"/>
          <w:lang w:val="en-GB"/>
        </w:rPr>
      </w:pPr>
      <w:r>
        <w:rPr>
          <w:rFonts w:eastAsia="Times New Roman" w:cs="Calibri"/>
          <w:lang w:val="en-GB"/>
        </w:rPr>
        <w:t xml:space="preserve">In preparing the Technical </w:t>
      </w:r>
      <w:r>
        <w:rPr>
          <w:rFonts w:cs="Calibri"/>
          <w:lang w:val="en-GB"/>
        </w:rPr>
        <w:t>component</w:t>
      </w:r>
      <w:r>
        <w:rPr>
          <w:rFonts w:eastAsia="Times New Roman" w:cs="Calibri"/>
          <w:lang w:val="en-GB"/>
        </w:rPr>
        <w:t>, Tenderers are expected to examine the documents constituting this RFP in detail. Material deficiencies in providing the information requested may result in rejection of a Proposal.</w:t>
      </w:r>
    </w:p>
    <w:p>
      <w:pPr>
        <w:spacing w:before="100" w:beforeAutospacing="1" w:after="100" w:afterAutospacing="1"/>
        <w:rPr>
          <w:rFonts w:eastAsia="Times New Roman" w:cs="Calibri"/>
        </w:rPr>
      </w:pPr>
      <w:r>
        <w:rPr>
          <w:rFonts w:eastAsia="Times New Roman" w:cs="Calibri"/>
        </w:rPr>
        <w:t xml:space="preserve">While preparing the Technical </w:t>
      </w:r>
      <w:r>
        <w:rPr>
          <w:rFonts w:cs="Calibri"/>
          <w:lang w:val="en-GB"/>
        </w:rPr>
        <w:t>component</w:t>
      </w:r>
      <w:r>
        <w:rPr>
          <w:rFonts w:eastAsia="Times New Roman" w:cs="Calibri"/>
        </w:rPr>
        <w:t xml:space="preserve">, </w:t>
      </w:r>
      <w:r>
        <w:rPr>
          <w:rFonts w:hint="eastAsia" w:eastAsia="Times New Roman" w:cs="Calibri"/>
        </w:rPr>
        <w:t>the Tenderer</w:t>
      </w:r>
      <w:r>
        <w:rPr>
          <w:rFonts w:eastAsia="Times New Roman" w:cs="Calibri"/>
        </w:rPr>
        <w:t xml:space="preserve"> must give particular attention to the following:</w:t>
      </w:r>
    </w:p>
    <w:p>
      <w:pPr>
        <w:numPr>
          <w:ilvl w:val="0"/>
          <w:numId w:val="7"/>
        </w:numPr>
        <w:spacing w:before="100" w:beforeAutospacing="1" w:after="100" w:afterAutospacing="1"/>
        <w:rPr>
          <w:rFonts w:eastAsia="Times New Roman" w:cs="Calibri"/>
        </w:rPr>
      </w:pPr>
      <w:r>
        <w:rPr>
          <w:rFonts w:eastAsia="Times New Roman" w:cs="Calibri"/>
        </w:rPr>
        <w:t xml:space="preserve">If </w:t>
      </w:r>
      <w:r>
        <w:rPr>
          <w:rFonts w:hint="eastAsia" w:eastAsia="Times New Roman" w:cs="Calibri"/>
        </w:rPr>
        <w:t>the Tenderer</w:t>
      </w:r>
      <w:r>
        <w:rPr>
          <w:rFonts w:eastAsia="Times New Roman" w:cs="Calibri"/>
        </w:rPr>
        <w:t xml:space="preserve"> considers that it does not have all the expertise, equipment, machinery, etc., for the assignment, it may obtain a full range of resources by associating with individual consultant(s) and/or other firms or entities in a joint venture or sub-consultancy, as appropriate.</w:t>
      </w:r>
    </w:p>
    <w:p>
      <w:pPr>
        <w:numPr>
          <w:ilvl w:val="0"/>
          <w:numId w:val="7"/>
        </w:numPr>
        <w:spacing w:before="100" w:beforeAutospacing="1" w:after="100" w:afterAutospacing="1"/>
        <w:rPr>
          <w:rFonts w:eastAsia="Times New Roman" w:cs="Calibri"/>
        </w:rPr>
      </w:pPr>
      <w:r>
        <w:rPr>
          <w:rFonts w:eastAsia="Times New Roman" w:cs="Calibri"/>
        </w:rPr>
        <w:t>It is desirable that the majority of the proposed key professional work executed be by permanent employees or equipment, machinery, etc., of the Tenderer or have an extended and stable working relationship with it.</w:t>
      </w:r>
    </w:p>
    <w:p>
      <w:pPr>
        <w:numPr>
          <w:ilvl w:val="0"/>
          <w:numId w:val="7"/>
        </w:numPr>
        <w:spacing w:before="100" w:beforeAutospacing="1" w:after="100" w:afterAutospacing="1"/>
        <w:rPr>
          <w:rFonts w:eastAsia="Times New Roman" w:cs="Calibri"/>
        </w:rPr>
      </w:pPr>
      <w:r>
        <w:rPr>
          <w:rFonts w:eastAsia="Times New Roman" w:cs="Calibri"/>
        </w:rPr>
        <w:t>Alternative experts shall not be proposed, and only one curriculum vitae (CV) may be submitted for each position.</w:t>
      </w:r>
    </w:p>
    <w:p>
      <w:pPr>
        <w:numPr>
          <w:ilvl w:val="0"/>
          <w:numId w:val="7"/>
        </w:numPr>
        <w:spacing w:before="100" w:beforeAutospacing="1" w:after="100" w:afterAutospacing="1"/>
        <w:rPr>
          <w:rFonts w:eastAsia="Times New Roman" w:cs="Calibri"/>
        </w:rPr>
      </w:pPr>
      <w:r>
        <w:rPr>
          <w:rFonts w:eastAsia="Times New Roman" w:cs="Calibri"/>
        </w:rPr>
        <w:t xml:space="preserve">The technical </w:t>
      </w:r>
      <w:r>
        <w:rPr>
          <w:rFonts w:cs="Calibri"/>
          <w:lang w:val="en-GB"/>
        </w:rPr>
        <w:t>component</w:t>
      </w:r>
      <w:r>
        <w:rPr>
          <w:rFonts w:eastAsia="Times New Roman" w:cs="Calibri"/>
        </w:rPr>
        <w:t xml:space="preserve"> shall not exceed </w:t>
      </w:r>
      <w:r>
        <w:rPr>
          <w:rFonts w:eastAsia="Times New Roman" w:cs="Calibri"/>
          <w:highlight w:val="yellow"/>
        </w:rPr>
        <w:t>40 pages</w:t>
      </w:r>
      <w:r>
        <w:rPr>
          <w:rFonts w:eastAsia="Times New Roman" w:cs="Calibri"/>
        </w:rPr>
        <w:t xml:space="preserve">, excluding the </w:t>
      </w:r>
      <w:r>
        <w:rPr>
          <w:rFonts w:hint="eastAsia" w:eastAsia="Times New Roman" w:cs="Calibri"/>
        </w:rPr>
        <w:t>CVs of experts</w:t>
      </w:r>
      <w:r>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fldChar w:fldCharType="separate"/>
      </w:r>
      <w:r>
        <w:rPr>
          <w:rFonts w:eastAsia="Times New Roman" w:cs="Calibri"/>
        </w:rPr>
        <w:t>G</w:t>
      </w:r>
      <w:r>
        <w:rPr>
          <w:rFonts w:eastAsia="Times New Roman" w:cs="Calibri"/>
        </w:rPr>
        <w:fldChar w:fldCharType="end"/>
      </w:r>
      <w:r>
        <w:rPr>
          <w:rFonts w:eastAsia="Times New Roman" w:cs="Calibri"/>
        </w:rPr>
        <w:t>)</w:t>
      </w:r>
      <w:r>
        <w:rPr>
          <w:rFonts w:hint="eastAsia" w:eastAsia="Times New Roman" w:cs="Calibri"/>
        </w:rPr>
        <w:t xml:space="preserve"> and</w:t>
      </w:r>
      <w:r>
        <w:rPr>
          <w:rFonts w:eastAsia="Times New Roman" w:cs="Calibri"/>
        </w:rPr>
        <w:t xml:space="preserve"> Tenderers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fldChar w:fldCharType="separate"/>
      </w:r>
      <w:r>
        <w:rPr>
          <w:rFonts w:eastAsia="Times New Roman" w:cs="Calibri"/>
        </w:rPr>
        <w:t>H</w:t>
      </w:r>
      <w:r>
        <w:rPr>
          <w:rFonts w:eastAsia="Times New Roman" w:cs="Calibri"/>
        </w:rPr>
        <w:fldChar w:fldCharType="end"/>
      </w:r>
      <w:r>
        <w:rPr>
          <w:rFonts w:eastAsia="Times New Roman" w:cs="Calibri"/>
        </w:rPr>
        <w:t>)</w:t>
      </w:r>
      <w:r>
        <w:rPr>
          <w:rFonts w:hint="eastAsia" w:eastAsia="Times New Roman" w:cs="Calibri"/>
        </w:rPr>
        <w:t>.</w:t>
      </w:r>
    </w:p>
    <w:p>
      <w:pPr>
        <w:spacing w:before="100" w:beforeAutospacing="1" w:after="100" w:afterAutospacing="1"/>
        <w:rPr>
          <w:rFonts w:eastAsia="Times New Roman" w:cs="Calibri"/>
        </w:rPr>
      </w:pPr>
      <w:r>
        <w:rPr>
          <w:rFonts w:hint="eastAsia" w:eastAsia="Times New Roman" w:cs="Calibri"/>
        </w:rPr>
        <w:t xml:space="preserve">The Tenderer must </w:t>
      </w:r>
      <w:r>
        <w:rPr>
          <w:rFonts w:eastAsia="Times New Roman" w:cs="Calibri"/>
        </w:rPr>
        <w:t xml:space="preserve">specify the Technical component of the Proposal, or </w:t>
      </w:r>
      <w:r>
        <w:rPr>
          <w:rFonts w:hint="eastAsia" w:eastAsia="Times New Roman" w:cs="Calibri"/>
        </w:rPr>
        <w:t>use the Technical forms</w:t>
      </w:r>
      <w:r>
        <w:rPr>
          <w:rFonts w:eastAsia="Times New Roman" w:cs="Calibri"/>
        </w:rPr>
        <w:t>, have such been included in the RFP,</w:t>
      </w:r>
      <w:r>
        <w:rPr>
          <w:rFonts w:hint="eastAsia" w:eastAsia="Times New Roman" w:cs="Calibri"/>
        </w:rPr>
        <w:t xml:space="preserve"> consisting of the following</w:t>
      </w:r>
      <w:r>
        <w:rPr>
          <w:rFonts w:eastAsia="Times New Roman" w:cs="Calibri"/>
        </w:rPr>
        <w:t>:</w:t>
      </w:r>
    </w:p>
    <w:p>
      <w:pPr>
        <w:numPr>
          <w:ilvl w:val="0"/>
          <w:numId w:val="8"/>
        </w:numPr>
        <w:spacing w:before="100" w:beforeAutospacing="1" w:after="100" w:afterAutospacing="1"/>
        <w:rPr>
          <w:rFonts w:eastAsia="Times New Roman" w:cs="Calibri"/>
        </w:rPr>
      </w:pPr>
      <w:r>
        <w:rPr>
          <w:rFonts w:eastAsia="Times New Roman" w:cs="Calibri"/>
        </w:rPr>
        <w:t>Description of the methodology and work plan for performing the assignment</w:t>
      </w:r>
    </w:p>
    <w:p>
      <w:pPr>
        <w:numPr>
          <w:ilvl w:val="0"/>
          <w:numId w:val="8"/>
        </w:numPr>
        <w:spacing w:before="100" w:beforeAutospacing="1" w:after="100" w:afterAutospacing="1"/>
        <w:rPr>
          <w:rFonts w:eastAsia="Times New Roman" w:cs="Calibri"/>
        </w:rPr>
      </w:pPr>
      <w:r>
        <w:rPr>
          <w:rFonts w:eastAsia="Times New Roman" w:cs="Calibri"/>
        </w:rPr>
        <w:t>Bill of Quantities (BOQ) to be developed by Construction firms</w:t>
      </w:r>
    </w:p>
    <w:p>
      <w:pPr>
        <w:numPr>
          <w:ilvl w:val="0"/>
          <w:numId w:val="8"/>
        </w:numPr>
        <w:spacing w:before="100" w:beforeAutospacing="1" w:after="100" w:afterAutospacing="1"/>
        <w:rPr>
          <w:rFonts w:eastAsia="Times New Roman" w:cs="Calibri"/>
        </w:rPr>
      </w:pPr>
      <w:r>
        <w:rPr>
          <w:rFonts w:eastAsia="Times New Roman" w:cs="Calibri"/>
        </w:rPr>
        <w:t>Team composition and task assignments</w:t>
      </w:r>
    </w:p>
    <w:p>
      <w:pPr>
        <w:numPr>
          <w:ilvl w:val="0"/>
          <w:numId w:val="8"/>
        </w:numPr>
        <w:spacing w:before="100" w:beforeAutospacing="1" w:after="100" w:afterAutospacing="1"/>
        <w:rPr>
          <w:rFonts w:eastAsia="Times New Roman" w:cs="Calibri"/>
        </w:rPr>
      </w:pPr>
      <w:r>
        <w:rPr>
          <w:rFonts w:eastAsia="Times New Roman" w:cs="Calibri"/>
        </w:rPr>
        <w:t>Detailed time schedule for the execution of the works</w:t>
      </w:r>
    </w:p>
    <w:p>
      <w:pPr>
        <w:numPr>
          <w:ilvl w:val="0"/>
          <w:numId w:val="8"/>
        </w:numPr>
        <w:spacing w:before="100" w:beforeAutospacing="1" w:after="100" w:afterAutospacing="1"/>
        <w:rPr>
          <w:rFonts w:eastAsia="Times New Roman" w:cs="Calibri"/>
        </w:rPr>
      </w:pPr>
      <w:r>
        <w:rPr>
          <w:rFonts w:eastAsia="Times New Roman" w:cs="Calibri"/>
        </w:rPr>
        <w:t>Summary schedule of Project Activities</w:t>
      </w:r>
    </w:p>
    <w:p>
      <w:pPr>
        <w:numPr>
          <w:ilvl w:val="0"/>
          <w:numId w:val="8"/>
        </w:numPr>
        <w:spacing w:before="100" w:beforeAutospacing="1" w:after="100" w:afterAutospacing="1"/>
        <w:rPr>
          <w:rFonts w:eastAsia="Times New Roman" w:cs="Calibri"/>
        </w:rPr>
      </w:pPr>
      <w:r>
        <w:rPr>
          <w:rFonts w:eastAsia="Times New Roman" w:cs="Calibri"/>
        </w:rPr>
        <w:t>Technical and Knowledge Capability</w:t>
      </w:r>
    </w:p>
    <w:p>
      <w:pPr>
        <w:numPr>
          <w:ilvl w:val="0"/>
          <w:numId w:val="8"/>
        </w:numPr>
        <w:spacing w:before="100" w:beforeAutospacing="1" w:after="100" w:afterAutospacing="1"/>
        <w:rPr>
          <w:rFonts w:eastAsia="Times New Roman" w:cs="Calibri"/>
        </w:rPr>
      </w:pPr>
      <w:bookmarkStart w:id="25" w:name="_Ref9605373"/>
      <w:r>
        <w:rPr>
          <w:rFonts w:eastAsia="Times New Roman" w:cs="Calibri"/>
        </w:rPr>
        <w:t>Curriculum vitae (CV) for proposed professional personnel</w:t>
      </w:r>
      <w:bookmarkEnd w:id="25"/>
    </w:p>
    <w:p>
      <w:pPr>
        <w:numPr>
          <w:ilvl w:val="0"/>
          <w:numId w:val="8"/>
        </w:numPr>
        <w:spacing w:before="100" w:beforeAutospacing="1" w:after="100" w:afterAutospacing="1"/>
        <w:rPr>
          <w:rFonts w:eastAsia="Times New Roman" w:cs="Calibri"/>
        </w:rPr>
      </w:pPr>
      <w:bookmarkStart w:id="26" w:name="_Ref9605311"/>
      <w:r>
        <w:rPr>
          <w:rFonts w:eastAsia="Times New Roman" w:cs="Calibri"/>
        </w:rPr>
        <w:t>Tenderer’s references</w:t>
      </w:r>
      <w:bookmarkEnd w:id="26"/>
    </w:p>
    <w:p>
      <w:pPr>
        <w:spacing w:before="100" w:beforeAutospacing="1" w:after="100" w:afterAutospacing="1"/>
        <w:rPr>
          <w:rFonts w:eastAsia="Times New Roman" w:cs="Calibri"/>
        </w:rPr>
      </w:pPr>
      <w:r>
        <w:rPr>
          <w:rFonts w:eastAsia="Times New Roman" w:cs="Calibri"/>
        </w:rPr>
        <w:t>The proposed allocation of man-days and other relevant expensed, however, WITHOUT any cost components, which should be proposed only in the Financial Proposal</w:t>
      </w:r>
      <w:r>
        <w:rPr>
          <w:rFonts w:eastAsia="Times New Roman" w:cs="Calibri"/>
          <w:lang w:val="en-GB"/>
        </w:rPr>
        <w:t>, for which the same form may be used as a basis</w:t>
      </w:r>
      <w:r>
        <w:rPr>
          <w:rFonts w:eastAsia="Times New Roman" w:cs="Calibri"/>
        </w:rPr>
        <w:t>.</w:t>
      </w:r>
    </w:p>
    <w:p>
      <w:pPr>
        <w:spacing w:before="100" w:beforeAutospacing="1" w:after="100" w:afterAutospacing="1"/>
        <w:rPr>
          <w:rFonts w:eastAsia="Times New Roman" w:cs="Calibri"/>
          <w:lang w:val="en-GB"/>
        </w:rPr>
      </w:pPr>
      <w:r>
        <w:rPr>
          <w:rFonts w:eastAsia="Times New Roman" w:cs="Calibri"/>
          <w:lang w:val="en-GB"/>
        </w:rPr>
        <w:t xml:space="preserve">To facilitate faster evaluation and comparative analysis of the Proposals, the Technical </w:t>
      </w:r>
      <w:r>
        <w:rPr>
          <w:rFonts w:cs="Calibri"/>
          <w:lang w:val="en-GB"/>
        </w:rPr>
        <w:t>component</w:t>
      </w:r>
      <w:r>
        <w:rPr>
          <w:rFonts w:eastAsia="Times New Roman" w:cs="Calibri"/>
          <w:lang w:val="en-GB"/>
        </w:rPr>
        <w:t xml:space="preserve"> shall be presented as:</w:t>
      </w:r>
    </w:p>
    <w:p>
      <w:pPr>
        <w:pStyle w:val="81"/>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Pr>
          <w:rFonts w:asciiTheme="minorHAnsi" w:hAnsiTheme="minorHAnsi" w:cstheme="minorHAnsi"/>
          <w:b/>
          <w:sz w:val="24"/>
          <w:szCs w:val="24"/>
          <w:lang w:val="en-GB"/>
        </w:rPr>
        <w:t>Detailed Description of Proposed Works</w:t>
      </w:r>
      <w:r>
        <w:rPr>
          <w:rFonts w:asciiTheme="minorHAnsi" w:hAnsiTheme="minorHAnsi" w:cstheme="minorHAnsi"/>
          <w:bCs/>
          <w:sz w:val="24"/>
          <w:szCs w:val="24"/>
          <w:lang w:val="en-GB"/>
        </w:rPr>
        <w:t>. –</w:t>
      </w:r>
      <w:r>
        <w:rPr>
          <w:rFonts w:asciiTheme="minorHAnsi" w:hAnsiTheme="minorHAnsi" w:cstheme="minorHAnsi"/>
          <w:b/>
          <w:sz w:val="24"/>
          <w:szCs w:val="24"/>
          <w:lang w:val="en-GB"/>
        </w:rPr>
        <w:t xml:space="preserve"> </w:t>
      </w:r>
      <w:r>
        <w:rPr>
          <w:rFonts w:asciiTheme="minorHAnsi" w:hAnsiTheme="minorHAnsi" w:cstheme="minorHAnsi"/>
          <w:sz w:val="24"/>
          <w:szCs w:val="24"/>
          <w:lang w:val="en-GB"/>
        </w:rPr>
        <w:t>This shall present the technical capability, comments, and suggestions to comply with the Specification.</w:t>
      </w:r>
    </w:p>
    <w:p>
      <w:pPr>
        <w:pStyle w:val="81"/>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b/>
          <w:sz w:val="24"/>
          <w:szCs w:val="24"/>
          <w:lang w:val="en-GB"/>
        </w:rPr>
        <w:t>Implementation Mechanisms and Management Arrangements</w:t>
      </w:r>
      <w:r>
        <w:rPr>
          <w:rFonts w:asciiTheme="minorHAnsi" w:hAnsiTheme="minorHAnsi" w:cstheme="minorHAnsi"/>
          <w:sz w:val="24"/>
          <w:szCs w:val="24"/>
          <w:lang w:val="en-GB"/>
        </w:rPr>
        <w:t xml:space="preserve"> – This will contain a brief description of how the Tenderer foresees the implementation of the required Works, including the work plan and activity schedule, as well as the expected roles and responsibilities of the parties.</w:t>
      </w:r>
    </w:p>
    <w:p>
      <w:pPr>
        <w:spacing w:before="100" w:beforeAutospacing="1" w:after="100" w:afterAutospacing="1"/>
        <w:rPr>
          <w:rFonts w:eastAsia="Times New Roman" w:cs="Calibri"/>
          <w:lang w:val="en-GB"/>
        </w:rPr>
      </w:pPr>
      <w:r>
        <w:rPr>
          <w:rFonts w:eastAsia="Times New Roman" w:cs="Calibri"/>
          <w:lang w:val="en-GB"/>
        </w:rPr>
        <w:t xml:space="preserve">The Technical </w:t>
      </w:r>
      <w:r>
        <w:rPr>
          <w:rFonts w:cs="Calibri"/>
          <w:lang w:val="en-GB"/>
        </w:rPr>
        <w:t>component</w:t>
      </w:r>
      <w:r>
        <w:rPr>
          <w:rFonts w:eastAsia="Times New Roman" w:cs="Calibri"/>
          <w:lang w:val="en-GB"/>
        </w:rPr>
        <w:t xml:space="preserve"> shall not include any information regarding the Financial </w:t>
      </w:r>
      <w:r>
        <w:rPr>
          <w:rFonts w:cs="Calibri"/>
          <w:lang w:val="en-GB"/>
        </w:rPr>
        <w:t>component</w:t>
      </w:r>
      <w:r>
        <w:rPr>
          <w:rFonts w:eastAsia="Times New Roman" w:cs="Calibri"/>
          <w:lang w:val="en-GB"/>
        </w:rPr>
        <w:t>.</w:t>
      </w:r>
    </w:p>
    <w:p>
      <w:pPr>
        <w:pStyle w:val="4"/>
        <w:spacing w:before="240" w:after="0"/>
        <w:jc w:val="both"/>
        <w:rPr>
          <w:rFonts w:cs="Calibri"/>
          <w:sz w:val="24"/>
          <w:lang w:val="en-GB"/>
        </w:rPr>
      </w:pPr>
      <w:bookmarkStart w:id="27" w:name="_Toc44940572"/>
      <w:r>
        <w:rPr>
          <w:rFonts w:cs="Calibri"/>
          <w:sz w:val="24"/>
          <w:lang w:val="en-GB"/>
        </w:rPr>
        <w:t>Financial component</w:t>
      </w:r>
      <w:bookmarkEnd w:id="27"/>
    </w:p>
    <w:p>
      <w:pPr>
        <w:spacing w:before="100" w:beforeAutospacing="1" w:after="100" w:afterAutospacing="1"/>
        <w:rPr>
          <w:rFonts w:eastAsia="Times New Roman" w:cs="Calibri"/>
          <w:lang w:val="en-GB"/>
        </w:rPr>
      </w:pPr>
      <w:r>
        <w:rPr>
          <w:rFonts w:eastAsia="Times New Roman" w:cs="Calibri"/>
          <w:lang w:val="en-GB"/>
        </w:rPr>
        <w:t xml:space="preserve">In preparing the Financial </w:t>
      </w:r>
      <w:r>
        <w:rPr>
          <w:rFonts w:cs="Calibri"/>
          <w:lang w:val="en-GB"/>
        </w:rPr>
        <w:t>component</w:t>
      </w:r>
      <w:r>
        <w:rPr>
          <w:rFonts w:eastAsia="Times New Roman" w:cs="Calibri"/>
          <w:lang w:val="en-GB"/>
        </w:rPr>
        <w:t xml:space="preserve">, Tenderers are expected to take into account the requirements and conditions outlined in the RFP documents. The Financial </w:t>
      </w:r>
      <w:r>
        <w:rPr>
          <w:rFonts w:cs="Calibri"/>
          <w:lang w:val="en-GB"/>
        </w:rPr>
        <w:t>component</w:t>
      </w:r>
      <w:r>
        <w:rPr>
          <w:rFonts w:eastAsia="Times New Roman" w:cs="Calibri"/>
          <w:lang w:val="en-GB"/>
        </w:rPr>
        <w:t xml:space="preserve"> shall use the templates, if such are provided, and include the following:</w:t>
      </w:r>
    </w:p>
    <w:p>
      <w:pPr>
        <w:pStyle w:val="81"/>
        <w:numPr>
          <w:ilvl w:val="0"/>
          <w:numId w:val="10"/>
        </w:numPr>
        <w:spacing w:before="100" w:beforeAutospacing="1" w:after="100" w:afterAutospacing="1"/>
        <w:ind w:leftChars="0"/>
        <w:rPr>
          <w:rFonts w:cs="Calibri"/>
          <w:sz w:val="24"/>
          <w:szCs w:val="24"/>
          <w:lang w:val="en-GB"/>
        </w:rPr>
      </w:pPr>
      <w:bookmarkStart w:id="28" w:name="_Hlk9606374"/>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bookmarkEnd w:id="28"/>
    <w:p>
      <w:pPr>
        <w:pStyle w:val="81"/>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The Tender may be subject to local taxes (such as value added or sales tax, social charges or income taxes on non-resident Foreign Personnel, duties, fees, levies) under the Contract. Tenderer shall include and clearly show all expected taxes in the Financial </w:t>
      </w:r>
      <w:r>
        <w:rPr>
          <w:rFonts w:cs="Calibri"/>
          <w:sz w:val="24"/>
          <w:lang w:val="en-GB"/>
        </w:rPr>
        <w:t>component</w:t>
      </w:r>
      <w:r>
        <w:rPr>
          <w:rFonts w:cs="Calibri"/>
          <w:sz w:val="24"/>
          <w:szCs w:val="24"/>
          <w:lang w:val="en-GB"/>
        </w:rPr>
        <w:t>.</w:t>
      </w:r>
    </w:p>
    <w:p>
      <w:pPr>
        <w:pStyle w:val="81"/>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Financial methodology that explains the rationale of the Financial </w:t>
      </w:r>
      <w:r>
        <w:rPr>
          <w:rFonts w:cs="Calibri"/>
          <w:sz w:val="24"/>
          <w:lang w:val="en-GB"/>
        </w:rPr>
        <w:t>component</w:t>
      </w:r>
      <w:r>
        <w:rPr>
          <w:rFonts w:cs="Calibri"/>
          <w:sz w:val="24"/>
          <w:szCs w:val="24"/>
          <w:lang w:val="en-GB"/>
        </w:rPr>
        <w:t xml:space="preserve"> and how it offers best value;</w:t>
      </w:r>
    </w:p>
    <w:p>
      <w:pPr>
        <w:pStyle w:val="81"/>
        <w:numPr>
          <w:ilvl w:val="0"/>
          <w:numId w:val="10"/>
        </w:numPr>
        <w:spacing w:before="100" w:beforeAutospacing="1" w:after="100" w:afterAutospacing="1"/>
        <w:ind w:leftChars="0"/>
        <w:rPr>
          <w:rFonts w:cs="Calibri"/>
          <w:sz w:val="24"/>
          <w:szCs w:val="24"/>
        </w:rPr>
      </w:pPr>
      <w:r>
        <w:rPr>
          <w:rFonts w:cs="Calibri"/>
          <w:sz w:val="24"/>
          <w:szCs w:val="24"/>
        </w:rPr>
        <w:t>Financial plan that clearly links all costs to work, materials, activities and outputs detailed in the work plan with associated payment mechanisms;</w:t>
      </w:r>
    </w:p>
    <w:p>
      <w:pPr>
        <w:pStyle w:val="3"/>
        <w:numPr>
          <w:ilvl w:val="0"/>
          <w:numId w:val="3"/>
        </w:numPr>
        <w:ind w:left="360" w:hanging="270"/>
        <w:rPr>
          <w:rFonts w:cs="Calibri"/>
          <w:sz w:val="28"/>
          <w:szCs w:val="28"/>
          <w:lang w:eastAsia="ko-KR"/>
        </w:rPr>
      </w:pPr>
      <w:bookmarkStart w:id="29" w:name="_Toc26369677"/>
      <w:bookmarkStart w:id="30" w:name="_Toc26439681"/>
      <w:bookmarkStart w:id="31" w:name="_Toc44940573"/>
      <w:bookmarkStart w:id="32" w:name="_Toc26442923"/>
      <w:bookmarkStart w:id="33" w:name="_Toc26451007"/>
      <w:r>
        <w:rPr>
          <w:rFonts w:cs="Calibri"/>
          <w:sz w:val="28"/>
          <w:szCs w:val="28"/>
          <w:lang w:eastAsia="ko-KR"/>
        </w:rPr>
        <w:t>Contract Award</w:t>
      </w:r>
      <w:bookmarkEnd w:id="29"/>
      <w:bookmarkEnd w:id="30"/>
      <w:bookmarkEnd w:id="31"/>
      <w:bookmarkEnd w:id="32"/>
      <w:bookmarkEnd w:id="33"/>
    </w:p>
    <w:p>
      <w:pPr>
        <w:spacing w:before="100" w:beforeAutospacing="1" w:after="100" w:afterAutospacing="1"/>
        <w:rPr>
          <w:rFonts w:eastAsia="Times New Roman"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34" w:name="_Toc26439682"/>
      <w:bookmarkEnd w:id="34"/>
      <w:bookmarkStart w:id="35" w:name="_Toc26442924"/>
      <w:bookmarkStart w:id="36" w:name="_Toc44940574"/>
      <w:bookmarkStart w:id="37" w:name="_Toc26451008"/>
      <w:bookmarkStart w:id="38" w:name="_Toc26439683"/>
      <w:bookmarkStart w:id="39" w:name="_Toc26369678"/>
      <w:r>
        <w:rPr>
          <w:rFonts w:cs="Calibri"/>
          <w:sz w:val="28"/>
          <w:szCs w:val="28"/>
          <w:lang w:eastAsia="ko-KR"/>
        </w:rPr>
        <w:t>Complaints</w:t>
      </w:r>
      <w:bookmarkEnd w:id="35"/>
      <w:bookmarkEnd w:id="36"/>
      <w:bookmarkEnd w:id="37"/>
      <w:bookmarkEnd w:id="38"/>
      <w:bookmarkEnd w:id="39"/>
    </w:p>
    <w:p>
      <w:pPr>
        <w:spacing w:before="100" w:beforeAutospacing="1" w:after="100" w:afterAutospacing="1"/>
        <w:rPr>
          <w:rFonts w:eastAsia="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0" w:name="_Toc26439684"/>
      <w:bookmarkStart w:id="41" w:name="_Toc26369679"/>
      <w:bookmarkStart w:id="42" w:name="_Toc26442925"/>
      <w:bookmarkStart w:id="43" w:name="_Toc44940575"/>
      <w:bookmarkStart w:id="44" w:name="_Toc26451009"/>
      <w:r>
        <w:rPr>
          <w:rFonts w:cs="Calibri"/>
          <w:sz w:val="28"/>
          <w:szCs w:val="28"/>
          <w:lang w:eastAsia="ko-KR"/>
        </w:rPr>
        <w:t>Contract finalisation</w:t>
      </w:r>
      <w:bookmarkEnd w:id="40"/>
      <w:bookmarkEnd w:id="41"/>
      <w:bookmarkEnd w:id="42"/>
      <w:bookmarkEnd w:id="43"/>
      <w:bookmarkEnd w:id="44"/>
    </w:p>
    <w:p>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pPr>
        <w:spacing w:before="100" w:beforeAutospacing="1" w:after="100" w:afterAutospacing="1"/>
        <w:rPr>
          <w:rFonts w:eastAsia="Times New Roman" w:cs="Calibri"/>
          <w:lang w:val="en-GB"/>
        </w:rPr>
      </w:pPr>
      <w:r>
        <w:rPr>
          <w:rFonts w:cs="Calibri"/>
          <w:lang w:val="en-GB"/>
        </w:rPr>
        <w:t>A</w:t>
      </w:r>
      <w:r>
        <w:rPr>
          <w:rFonts w:eastAsia="Times New Roman" w:cs="Calibri"/>
          <w:lang w:val="en-GB"/>
        </w:rPr>
        <w:t xml:space="preserve"> discussion may take place to clarify the Technical component and any suggestions made by the Tenderer to improve the Specification. The agreed work plan and final Specification will then be incorporated as part of the Contract. Special attention will be paid to receiving most of what the Tenderer can offer within the available budget and having clearly defined the inputs required from the Procuring Entity to ensure satisfactory implementation of the works. The Tenderer will pay any cost incurred during a discussion process.</w:t>
      </w:r>
    </w:p>
    <w:p>
      <w:pPr>
        <w:spacing w:before="100" w:beforeAutospacing="1" w:after="100" w:afterAutospacing="1"/>
        <w:rPr>
          <w:rFonts w:eastAsia="Times New Roman" w:cs="Calibri"/>
          <w:lang w:val="en-GB"/>
        </w:rPr>
      </w:pPr>
      <w:r>
        <w:rPr>
          <w:rFonts w:eastAsia="Times New Roman" w:cs="Calibri"/>
          <w:lang w:val="en-GB"/>
        </w:rPr>
        <w:t>Having selected the Consultant on the basis of, among other things, an evaluation of proposed key professional staff, works methodology or an innovative solution, the Procuring Entity expects to finalise a Contract on the basis of the experts and methods named in the Proposal. The Procuring Entity will not consider substitutions during Contract negotiations. Unless the Procuring Entity agrees otherwise in writing, the Tenderer assures that any key expert or method offered in the Proposal is in fact available for the work. Unavailability of a key expert or change of methodology may disqualify the Tenderer.</w:t>
      </w:r>
    </w:p>
    <w:p>
      <w:pPr>
        <w:rPr>
          <w:rFonts w:eastAsia="Times New Roman" w:cs="Calibri"/>
          <w:lang w:val="en-GB"/>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p>
    <w:sectPr>
      <w:headerReference r:id="rId5" w:type="first"/>
      <w:headerReference r:id="rId4" w:type="default"/>
      <w:footerReference r:id="rId6" w:type="default"/>
      <w:type w:val="oddPage"/>
      <w:pgSz w:w="11907" w:h="16839"/>
      <w:pgMar w:top="1560"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8</w:t>
    </w:r>
    <w:r>
      <w:rPr>
        <w:color w:val="17375E" w:themeColor="text2" w:themeShade="BF"/>
      </w:rPr>
      <w:fldChar w:fldCharType="end"/>
    </w:r>
  </w:p>
  <w:p>
    <w:pPr>
      <w:pStyle w:val="22"/>
    </w:pPr>
    <w:r>
      <w:fldChar w:fldCharType="begin"/>
    </w:r>
    <w:r>
      <w:instrText xml:space="preserve"> DATE \@ "yyyy-MM-dd" </w:instrText>
    </w:r>
    <w:r>
      <w:fldChar w:fldCharType="separate"/>
    </w:r>
    <w:r>
      <w:t>2021-04-17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Style w:val="24"/>
        <w:ind w:left="0" w:hanging="6"/>
      </w:pPr>
      <w:r>
        <w:rPr>
          <w:rStyle w:val="23"/>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lang w:val="en-GB"/>
      </w:rPr>
      <w:t>RFP-MXXX-2020-000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93559"/>
    <w:multiLevelType w:val="multilevel"/>
    <w:tmpl w:val="02A93559"/>
    <w:lvl w:ilvl="0" w:tentative="0">
      <w:start w:val="1"/>
      <w:numFmt w:val="lowerLetter"/>
      <w:lvlText w:val="%1)"/>
      <w:lvlJc w:val="left"/>
      <w:pPr>
        <w:ind w:left="720" w:hanging="360"/>
      </w:pPr>
      <w:rPr>
        <w:rFonts w:hint="default"/>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3">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A521E96"/>
    <w:multiLevelType w:val="multilevel"/>
    <w:tmpl w:val="6A521E96"/>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9">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8"/>
  </w:num>
  <w:num w:numId="3">
    <w:abstractNumId w:val="9"/>
  </w:num>
  <w:num w:numId="4">
    <w:abstractNumId w:val="4"/>
  </w:num>
  <w:num w:numId="5">
    <w:abstractNumId w:val="6"/>
  </w:num>
  <w:num w:numId="6">
    <w:abstractNumId w:val="5"/>
  </w:num>
  <w:num w:numId="7">
    <w:abstractNumId w:val="7"/>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648"/>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5E5F"/>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87F0A"/>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5C4"/>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5C9"/>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3ACC"/>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280"/>
    <w:rsid w:val="004A78D2"/>
    <w:rsid w:val="004B0353"/>
    <w:rsid w:val="004B074B"/>
    <w:rsid w:val="004B0A79"/>
    <w:rsid w:val="004B19C7"/>
    <w:rsid w:val="004B1E07"/>
    <w:rsid w:val="004B4999"/>
    <w:rsid w:val="004B76E4"/>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05E"/>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4DA0"/>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0743"/>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E46"/>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5CAF"/>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26A63"/>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3788"/>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658407EF"/>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Calibri" w:hAnsi="Calibri"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F2FAC-AF64-464E-B14B-DE87820C630E}">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8</Pages>
  <Words>2431</Words>
  <Characters>13857</Characters>
  <Lines>115</Lines>
  <Paragraphs>32</Paragraphs>
  <TotalTime>1</TotalTime>
  <ScaleCrop>false</ScaleCrop>
  <LinksUpToDate>false</LinksUpToDate>
  <CharactersWithSpaces>16256</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2021-04-12T00:32:00Z</dcterms:created>
  <dc:creator>jason.lee@gggi.org;Jisu Min</dc:creator>
  <cp:lastModifiedBy>tneemia</cp:lastModifiedBy>
  <cp:lastPrinted>2019-05-23T01:49:00Z</cp:lastPrinted>
  <dcterms:modified xsi:type="dcterms:W3CDTF">2021-04-17T00:28:22Z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